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12 (Benchmarking)</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8"/>
          <w:tab w:val="left" w:leader="none" w:pos="0"/>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Layout w:type="fixed"/>
        <w:tblLook w:val="00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8"/>
          <w:tab w:val="left" w:leader="none" w:pos="0"/>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to ensure the Contract represents value for money throughout and that the Buyer may terminate the Contract by issuing a Termination Notice to the Supplier if the Supplier refuses or fails to comply with its obligations as set out in Paragraph Benchmarking of this Schedule, in which case the consequences of termination set out in Clause 14.5.1 shall apply.</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8"/>
          <w:tab w:val="left" w:leader="none" w:pos="0"/>
        </w:tabs>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Start Date or at intervals of less than twelve (12) Months after any previous Benchmark Review. </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 shall apply to any amended draft plan.</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8">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9">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benchmarker's professional judgment using:</w:t>
      </w:r>
    </w:p>
    <w:p w:rsidR="00000000" w:rsidDel="00000000" w:rsidP="00000000" w:rsidRDefault="00000000" w:rsidRPr="00000000" w14:paraId="0000002A">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from other service providers to the Buyer;</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survey information;</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from "in-house" providers to the Buyer to the extent that the benchmarker considers that they are valid comparators;</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30">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312" w:right="0" w:hanging="705.999999999999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 below, information from other suppliers or purchasers on Comparable Rates;</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In carrying out the benchmarking analysis the benchmarker may have regard to the following matters when performing a comparative assessment of the Benchmarked Rates and the Comparable Rates in order to derive Equivalent Data: and from an analysis of the Comparable Rates, derive the Equivalent Data;</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 and </w:t>
      </w:r>
    </w:p>
    <w:p w:rsidR="00000000" w:rsidDel="00000000" w:rsidP="00000000" w:rsidRDefault="00000000" w:rsidRPr="00000000" w14:paraId="0000003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5">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 setting out its findings. Those findings shall be required to:</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606"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28 (Changing the contract).</w:t>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12 (Benchmarking), Crown Copyright 2023, [Subject to Contract]</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rFonts w:ascii="Arial" w:cs="Arial" w:eastAsia="Arial" w:hAnsi="Arial"/>
        <w:b w:val="0"/>
        <w:i w:val="0"/>
        <w:smallCaps w:val="0"/>
        <w:strike w:val="0"/>
        <w:color w:val="000000"/>
        <w:sz w:val="24"/>
        <w:szCs w:val="24"/>
        <w:u w:val="none"/>
        <w:vertAlign w:val="baseline"/>
      </w:rPr>
    </w:lvl>
    <w:lvl w:ilvl="4">
      <w:start w:val="1"/>
      <w:numFmt w:val="upperLetter"/>
      <w:lvlText w:val="(%5)"/>
      <w:lvlJc w:val="left"/>
      <w:pPr>
        <w:ind w:left="3312" w:hanging="706"/>
      </w:pPr>
      <w:rPr>
        <w:rFonts w:ascii="Arial" w:cs="Arial" w:eastAsia="Arial" w:hAnsi="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5335c7d1-0753-4951-a6e3-b384b16f9362</vt:lpwstr>
  </property>
</Properties>
</file>